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9BF4D" w14:textId="085060EC" w:rsidR="00C07D9B" w:rsidRDefault="00E73EA8">
      <w:pPr>
        <w:rPr>
          <w:b/>
        </w:rPr>
      </w:pPr>
      <w:r w:rsidRPr="00E73EA8">
        <w:rPr>
          <w:b/>
        </w:rPr>
        <w:t xml:space="preserve">Route 1 – Via Science Gallery Entrance, </w:t>
      </w:r>
      <w:proofErr w:type="spellStart"/>
      <w:r w:rsidRPr="00E73EA8">
        <w:rPr>
          <w:b/>
        </w:rPr>
        <w:t>Pearse</w:t>
      </w:r>
      <w:proofErr w:type="spellEnd"/>
      <w:r w:rsidRPr="00E73EA8">
        <w:rPr>
          <w:b/>
        </w:rPr>
        <w:t xml:space="preserve"> St</w:t>
      </w:r>
    </w:p>
    <w:p w14:paraId="0775433B" w14:textId="5883724F" w:rsidR="00D87D91" w:rsidRPr="00D87D91" w:rsidRDefault="00D87D91">
      <w:pPr>
        <w:rPr>
          <w:i/>
        </w:rPr>
      </w:pPr>
      <w:r w:rsidRPr="00D87D91">
        <w:rPr>
          <w:i/>
        </w:rPr>
        <w:t>Most direct route for those coming from the Chartered Accountants House reception</w:t>
      </w:r>
      <w:r>
        <w:rPr>
          <w:i/>
        </w:rPr>
        <w:t xml:space="preserve"> – 3 min walk</w:t>
      </w:r>
    </w:p>
    <w:p w14:paraId="013CB9EE" w14:textId="77777777" w:rsidR="00E73EA8" w:rsidRPr="00E73EA8" w:rsidRDefault="00E73EA8" w:rsidP="00E73EA8">
      <w:pPr>
        <w:pStyle w:val="ListParagraph"/>
        <w:numPr>
          <w:ilvl w:val="0"/>
          <w:numId w:val="1"/>
        </w:numPr>
        <w:rPr>
          <w:i/>
        </w:rPr>
      </w:pPr>
      <w:r>
        <w:t xml:space="preserve">Enter the </w:t>
      </w:r>
      <w:proofErr w:type="spellStart"/>
      <w:r>
        <w:t>Pearse</w:t>
      </w:r>
      <w:proofErr w:type="spellEnd"/>
      <w:r>
        <w:t xml:space="preserve"> St entrance at the </w:t>
      </w:r>
      <w:r w:rsidRPr="00E73EA8">
        <w:rPr>
          <w:b/>
        </w:rPr>
        <w:t>Science Gallery</w:t>
      </w:r>
      <w:r>
        <w:t xml:space="preserve"> – </w:t>
      </w:r>
      <w:r w:rsidRPr="00E73EA8">
        <w:rPr>
          <w:i/>
        </w:rPr>
        <w:t>(Fig 1)</w:t>
      </w:r>
    </w:p>
    <w:p w14:paraId="11B5817B" w14:textId="78E60CD4" w:rsidR="00E73EA8" w:rsidRDefault="00E73EA8" w:rsidP="00E73EA8">
      <w:pPr>
        <w:pStyle w:val="ListParagraph"/>
        <w:numPr>
          <w:ilvl w:val="0"/>
          <w:numId w:val="1"/>
        </w:numPr>
      </w:pPr>
      <w:r>
        <w:t xml:space="preserve">Continue straight, passing </w:t>
      </w:r>
      <w:r w:rsidRPr="00E73EA8">
        <w:rPr>
          <w:b/>
        </w:rPr>
        <w:t>The Lloyd Institute Building</w:t>
      </w:r>
      <w:r>
        <w:t xml:space="preserve"> on right </w:t>
      </w:r>
    </w:p>
    <w:p w14:paraId="7B3510FD" w14:textId="40F37CB2" w:rsidR="00E73EA8" w:rsidRPr="00E73EA8" w:rsidRDefault="00E73EA8" w:rsidP="00E73EA8">
      <w:pPr>
        <w:pStyle w:val="ListParagraph"/>
        <w:numPr>
          <w:ilvl w:val="0"/>
          <w:numId w:val="1"/>
        </w:numPr>
        <w:rPr>
          <w:i/>
        </w:rPr>
      </w:pPr>
      <w:r>
        <w:t xml:space="preserve">Turn right after The Lloyd Building – </w:t>
      </w:r>
      <w:r w:rsidRPr="00E73EA8">
        <w:rPr>
          <w:i/>
        </w:rPr>
        <w:t>(Fig 2)</w:t>
      </w:r>
    </w:p>
    <w:p w14:paraId="3DD9C64A" w14:textId="3DEAEB40" w:rsidR="00E73EA8" w:rsidRPr="00E73EA8" w:rsidRDefault="00E73EA8" w:rsidP="00E73EA8">
      <w:pPr>
        <w:pStyle w:val="ListParagraph"/>
        <w:numPr>
          <w:ilvl w:val="0"/>
          <w:numId w:val="1"/>
        </w:numPr>
        <w:rPr>
          <w:i/>
        </w:rPr>
      </w:pPr>
      <w:r>
        <w:t xml:space="preserve">Continue straight, then take first left at </w:t>
      </w:r>
      <w:r w:rsidRPr="00E73EA8">
        <w:rPr>
          <w:b/>
        </w:rPr>
        <w:t>Physiology Building</w:t>
      </w:r>
      <w:r w:rsidR="00D87D91">
        <w:t xml:space="preserve"> </w:t>
      </w:r>
    </w:p>
    <w:p w14:paraId="6698D73A" w14:textId="6AD1B113" w:rsidR="00E73EA8" w:rsidRPr="00E73EA8" w:rsidRDefault="00E73EA8" w:rsidP="00E73EA8">
      <w:pPr>
        <w:pStyle w:val="ListParagraph"/>
        <w:numPr>
          <w:ilvl w:val="0"/>
          <w:numId w:val="1"/>
        </w:numPr>
        <w:rPr>
          <w:i/>
        </w:rPr>
      </w:pPr>
      <w:r>
        <w:t xml:space="preserve">Continue straight, walking towards side of </w:t>
      </w:r>
      <w:r w:rsidRPr="00E73EA8">
        <w:rPr>
          <w:b/>
        </w:rPr>
        <w:t>Chemistry Building</w:t>
      </w:r>
      <w:r>
        <w:t xml:space="preserve"> &amp; veering right at the entrance </w:t>
      </w:r>
      <w:r w:rsidR="00D87D91">
        <w:t xml:space="preserve">to Faculty of Health Sciences </w:t>
      </w:r>
    </w:p>
    <w:p w14:paraId="1085BDD1" w14:textId="6C101FDD" w:rsidR="00E73EA8" w:rsidRPr="00E73EA8" w:rsidRDefault="00E73EA8" w:rsidP="00E73EA8">
      <w:pPr>
        <w:pStyle w:val="ListParagraph"/>
        <w:numPr>
          <w:ilvl w:val="0"/>
          <w:numId w:val="1"/>
        </w:numPr>
        <w:rPr>
          <w:i/>
        </w:rPr>
      </w:pPr>
      <w:r>
        <w:t>Take immediate left to arrive at front of Chemist</w:t>
      </w:r>
      <w:r w:rsidR="00D87D91">
        <w:t>ry Building</w:t>
      </w:r>
      <w:r w:rsidR="00122B5E">
        <w:t xml:space="preserve"> (</w:t>
      </w:r>
      <w:r w:rsidR="00122B5E" w:rsidRPr="00122B5E">
        <w:rPr>
          <w:i/>
        </w:rPr>
        <w:t>Fig 5</w:t>
      </w:r>
      <w:r w:rsidR="00122B5E">
        <w:t>)</w:t>
      </w:r>
      <w:r w:rsidR="00D87D91">
        <w:t xml:space="preserve"> </w:t>
      </w:r>
    </w:p>
    <w:p w14:paraId="75CFA40F" w14:textId="23891D8E" w:rsidR="00E73EA8" w:rsidRDefault="00E73EA8" w:rsidP="00E73EA8">
      <w:pPr>
        <w:pStyle w:val="ListParagraph"/>
        <w:numPr>
          <w:ilvl w:val="0"/>
          <w:numId w:val="1"/>
        </w:numPr>
      </w:pPr>
      <w:r>
        <w:t>The Old Anatomy Lecture Theatre is housed in the Chemistry Building. You will be greeted here and directed to the theatre.</w:t>
      </w:r>
    </w:p>
    <w:p w14:paraId="2F3DDFA2" w14:textId="584791C8" w:rsidR="002D40B8" w:rsidRDefault="002D40B8" w:rsidP="002D40B8"/>
    <w:p w14:paraId="73B908DD" w14:textId="54670621" w:rsidR="00E73EA8" w:rsidRDefault="00E73EA8" w:rsidP="00E73EA8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DE0D759" wp14:editId="66950377">
                <wp:simplePos x="0" y="0"/>
                <wp:positionH relativeFrom="column">
                  <wp:posOffset>3657600</wp:posOffset>
                </wp:positionH>
                <wp:positionV relativeFrom="paragraph">
                  <wp:posOffset>190500</wp:posOffset>
                </wp:positionV>
                <wp:extent cx="2428875" cy="448310"/>
                <wp:effectExtent l="0" t="0" r="28575" b="27940"/>
                <wp:wrapTight wrapText="bothSides">
                  <wp:wrapPolygon edited="0">
                    <wp:start x="0" y="0"/>
                    <wp:lineTo x="0" y="22028"/>
                    <wp:lineTo x="21685" y="22028"/>
                    <wp:lineTo x="2168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9C595" w14:textId="77777777" w:rsidR="00E73EA8" w:rsidRDefault="00E73EA8">
                            <w:r w:rsidRPr="00E73EA8">
                              <w:rPr>
                                <w:i/>
                              </w:rPr>
                              <w:t>Fig 1</w:t>
                            </w:r>
                            <w:r>
                              <w:t xml:space="preserve"> Science Gallery Entrance on Pearse 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0D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in;margin-top:15pt;width:191.25pt;height:35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">
                <v:textbox>
                  <w:txbxContent>
                    <w:p w14:paraId="0C69C595" w14:textId="77777777" w:rsidR="00E73EA8" w:rsidRDefault="00E73EA8">
                      <w:r w:rsidRPr="00E73EA8">
                        <w:rPr>
                          <w:i/>
                        </w:rPr>
                        <w:t>Fig 1</w:t>
                      </w:r>
                      <w:r>
                        <w:t xml:space="preserve"> Science Gallery Entrance on Pearse St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786175F5" wp14:editId="27D2D223">
            <wp:extent cx="3006777" cy="2497991"/>
            <wp:effectExtent l="698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ence Gallery Pearse St entranc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12491" cy="258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5FD46" w14:textId="0DA1D2A6" w:rsidR="00E73EA8" w:rsidRDefault="00D87D91" w:rsidP="00E73EA8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81E305" wp14:editId="704A69B0">
                <wp:simplePos x="0" y="0"/>
                <wp:positionH relativeFrom="column">
                  <wp:posOffset>3667125</wp:posOffset>
                </wp:positionH>
                <wp:positionV relativeFrom="paragraph">
                  <wp:posOffset>12065</wp:posOffset>
                </wp:positionV>
                <wp:extent cx="2057400" cy="4286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3A67E" w14:textId="77777777" w:rsidR="00E73EA8" w:rsidRDefault="00E73EA8">
                            <w:r w:rsidRPr="002D40B8">
                              <w:rPr>
                                <w:i/>
                              </w:rPr>
                              <w:t>Fig 2</w:t>
                            </w:r>
                            <w:r>
                              <w:t xml:space="preserve"> </w:t>
                            </w:r>
                            <w:r w:rsidR="002D40B8">
                              <w:t xml:space="preserve">The Lloyd Institute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1E305" id="_x0000_s1027" type="#_x0000_t202" style="position:absolute;margin-left:288.75pt;margin-top:.95pt;width:162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">
                <v:textbox>
                  <w:txbxContent>
                    <w:p w14:paraId="7CF3A67E" w14:textId="77777777" w:rsidR="00E73EA8" w:rsidRDefault="00E73EA8">
                      <w:r w:rsidRPr="002D40B8">
                        <w:rPr>
                          <w:i/>
                        </w:rPr>
                        <w:t>Fig 2</w:t>
                      </w:r>
                      <w:r>
                        <w:t xml:space="preserve"> </w:t>
                      </w:r>
                      <w:r w:rsidR="002D40B8">
                        <w:t xml:space="preserve">The Lloyd Institute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566CD1AC" wp14:editId="27B49D6F">
            <wp:extent cx="3343275" cy="250764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Loyd Institu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498" cy="253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0E7E8" w14:textId="2FBA8AB9" w:rsidR="002D40B8" w:rsidRDefault="002D40B8" w:rsidP="00E73EA8"/>
    <w:p w14:paraId="76BD793C" w14:textId="28FE668B" w:rsidR="002D40B8" w:rsidRDefault="002D40B8" w:rsidP="00E73EA8"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80660F9" wp14:editId="77C2EF78">
                <wp:simplePos x="0" y="0"/>
                <wp:positionH relativeFrom="column">
                  <wp:posOffset>4086225</wp:posOffset>
                </wp:positionH>
                <wp:positionV relativeFrom="paragraph">
                  <wp:posOffset>75565</wp:posOffset>
                </wp:positionV>
                <wp:extent cx="2360930" cy="457200"/>
                <wp:effectExtent l="0" t="0" r="1270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C60F4" w14:textId="77777777" w:rsidR="002D40B8" w:rsidRDefault="002D40B8">
                            <w:r w:rsidRPr="002D40B8">
                              <w:rPr>
                                <w:i/>
                              </w:rPr>
                              <w:t>Fig 5</w:t>
                            </w:r>
                            <w:r>
                              <w:t xml:space="preserve"> – Entrance to Chemistry 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080660F9" id="_x0000_s1030" type="#_x0000_t202" style="position:absolute;margin-left:321.75pt;margin-top:5.95pt;width:185.9pt;height:36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">
                <v:textbox>
                  <w:txbxContent>
                    <w:p w14:paraId="6DFC60F4" w14:textId="77777777" w:rsidR="002D40B8" w:rsidRDefault="002D40B8">
                      <w:r w:rsidRPr="002D40B8">
                        <w:rPr>
                          <w:i/>
                        </w:rPr>
                        <w:t>Fig 5</w:t>
                      </w:r>
                      <w:r>
                        <w:t xml:space="preserve"> – Entrance to Chemistry Building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7D986198" wp14:editId="59E4F283">
            <wp:extent cx="3873214" cy="29051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ront of Chemistry Buildin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9042" cy="292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A9B4D" w14:textId="0244DD35" w:rsidR="005D585D" w:rsidRDefault="005D585D" w:rsidP="00E73EA8"/>
    <w:p w14:paraId="6720D4C0" w14:textId="551C369F" w:rsidR="005D585D" w:rsidRPr="00D87D91" w:rsidRDefault="005D585D" w:rsidP="00E73EA8">
      <w:pPr>
        <w:rPr>
          <w:b/>
        </w:rPr>
      </w:pPr>
      <w:r w:rsidRPr="008223B5">
        <w:rPr>
          <w:b/>
        </w:rPr>
        <w:t>Route 2 – Via Nassau Street Pedestrian Gate</w:t>
      </w:r>
    </w:p>
    <w:p w14:paraId="0B7146F3" w14:textId="7D12FEA0" w:rsidR="00CE375D" w:rsidRDefault="001745CA" w:rsidP="008223B5">
      <w:pPr>
        <w:pStyle w:val="ListParagraph"/>
        <w:numPr>
          <w:ilvl w:val="0"/>
          <w:numId w:val="2"/>
        </w:numPr>
      </w:pPr>
      <w:r>
        <w:t xml:space="preserve">Enter TCD Campus via Nassau Street Pedestrian Gate. </w:t>
      </w:r>
      <w:r w:rsidR="00CF4063">
        <w:t>The gate is “in the wall” opposite the Trinity Point Building</w:t>
      </w:r>
      <w:r w:rsidR="008E1B62">
        <w:t xml:space="preserve"> (far end of Nassau St </w:t>
      </w:r>
      <w:r w:rsidR="00F37E26">
        <w:t xml:space="preserve">close to National Gallery end of Nassau </w:t>
      </w:r>
      <w:r w:rsidR="00D87D91">
        <w:t>St)</w:t>
      </w:r>
    </w:p>
    <w:p w14:paraId="268CFEC6" w14:textId="56C00054" w:rsidR="008223B5" w:rsidRDefault="008223B5" w:rsidP="008223B5">
      <w:pPr>
        <w:pStyle w:val="ListParagraph"/>
        <w:numPr>
          <w:ilvl w:val="0"/>
          <w:numId w:val="2"/>
        </w:numPr>
      </w:pPr>
      <w:r>
        <w:t>Walk down steps, continue straight and Chemistry Building is on your right.</w:t>
      </w:r>
    </w:p>
    <w:p w14:paraId="6930C00E" w14:textId="00095706" w:rsidR="008223B5" w:rsidRDefault="008223B5" w:rsidP="008223B5"/>
    <w:p w14:paraId="7E1DADEB" w14:textId="6D5C71FE" w:rsidR="008223B5" w:rsidRPr="00AE4A84" w:rsidRDefault="008223B5" w:rsidP="008223B5">
      <w:pPr>
        <w:rPr>
          <w:b/>
        </w:rPr>
      </w:pPr>
      <w:r w:rsidRPr="00AE4A84">
        <w:rPr>
          <w:b/>
        </w:rPr>
        <w:t xml:space="preserve">Route 3 </w:t>
      </w:r>
      <w:r w:rsidR="0029271C" w:rsidRPr="00AE4A84">
        <w:rPr>
          <w:b/>
        </w:rPr>
        <w:t>–</w:t>
      </w:r>
      <w:r w:rsidRPr="00AE4A84">
        <w:rPr>
          <w:b/>
        </w:rPr>
        <w:t xml:space="preserve"> </w:t>
      </w:r>
      <w:r w:rsidR="0029271C" w:rsidRPr="00AE4A84">
        <w:rPr>
          <w:b/>
        </w:rPr>
        <w:t>Via Lincoln Gate</w:t>
      </w:r>
    </w:p>
    <w:p w14:paraId="0E8E0654" w14:textId="7B6D4ABF" w:rsidR="0029271C" w:rsidRDefault="0029271C" w:rsidP="00AE4A84">
      <w:pPr>
        <w:pStyle w:val="ListParagraph"/>
        <w:numPr>
          <w:ilvl w:val="0"/>
          <w:numId w:val="3"/>
        </w:numPr>
      </w:pPr>
      <w:r>
        <w:t>Enter Lincoln Gate on Lincoln Place</w:t>
      </w:r>
    </w:p>
    <w:p w14:paraId="2AD98184" w14:textId="727C6992" w:rsidR="0029271C" w:rsidRDefault="0029271C" w:rsidP="00AE4A84">
      <w:pPr>
        <w:pStyle w:val="ListParagraph"/>
        <w:numPr>
          <w:ilvl w:val="0"/>
          <w:numId w:val="3"/>
        </w:numPr>
      </w:pPr>
      <w:r>
        <w:t>Take first left.</w:t>
      </w:r>
    </w:p>
    <w:p w14:paraId="29EAF456" w14:textId="5BC29819" w:rsidR="0029271C" w:rsidRDefault="00AE4A84" w:rsidP="00AE4A84">
      <w:pPr>
        <w:pStyle w:val="ListParagraph"/>
        <w:numPr>
          <w:ilvl w:val="0"/>
          <w:numId w:val="3"/>
        </w:numPr>
      </w:pPr>
      <w:r>
        <w:t>Walk towards pedestrian crossing</w:t>
      </w:r>
    </w:p>
    <w:p w14:paraId="5351F017" w14:textId="1CA77392" w:rsidR="00AE4A84" w:rsidRDefault="00AE4A84" w:rsidP="00AE4A84">
      <w:pPr>
        <w:pStyle w:val="ListParagraph"/>
        <w:numPr>
          <w:ilvl w:val="0"/>
          <w:numId w:val="3"/>
        </w:numPr>
      </w:pPr>
      <w:r>
        <w:t>The Chemistry Building is on the right</w:t>
      </w:r>
    </w:p>
    <w:p w14:paraId="5F0963E8" w14:textId="5222AE67" w:rsidR="00AE4A84" w:rsidRPr="00E73EA8" w:rsidRDefault="00AE4A84" w:rsidP="00AE4A84">
      <w:pPr>
        <w:pStyle w:val="ListParagraph"/>
        <w:numPr>
          <w:ilvl w:val="0"/>
          <w:numId w:val="3"/>
        </w:numPr>
      </w:pPr>
      <w:bookmarkStart w:id="0" w:name="_GoBack"/>
      <w:bookmarkEnd w:id="0"/>
      <w:r>
        <w:t>Turn right</w:t>
      </w:r>
      <w:r w:rsidR="001A1EBE">
        <w:t xml:space="preserve"> at pedestrian crossing</w:t>
      </w:r>
      <w:r>
        <w:t xml:space="preserve"> to main entrance to Chemistry Building.</w:t>
      </w:r>
    </w:p>
    <w:sectPr w:rsidR="00AE4A84" w:rsidRPr="00E73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864FA"/>
    <w:multiLevelType w:val="hybridMultilevel"/>
    <w:tmpl w:val="0F28D4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548E1"/>
    <w:multiLevelType w:val="hybridMultilevel"/>
    <w:tmpl w:val="34D059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63B3F"/>
    <w:multiLevelType w:val="hybridMultilevel"/>
    <w:tmpl w:val="225ECB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8"/>
    <w:rsid w:val="00122B5E"/>
    <w:rsid w:val="001745CA"/>
    <w:rsid w:val="001A1EBE"/>
    <w:rsid w:val="0029271C"/>
    <w:rsid w:val="002B0A3C"/>
    <w:rsid w:val="002D40B8"/>
    <w:rsid w:val="0053607D"/>
    <w:rsid w:val="005D585D"/>
    <w:rsid w:val="007D5D5F"/>
    <w:rsid w:val="008223B5"/>
    <w:rsid w:val="008E1B62"/>
    <w:rsid w:val="00AE4A84"/>
    <w:rsid w:val="00C07D9B"/>
    <w:rsid w:val="00CE375D"/>
    <w:rsid w:val="00CF4063"/>
    <w:rsid w:val="00D87D91"/>
    <w:rsid w:val="00E73EA8"/>
    <w:rsid w:val="00F3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82CF4"/>
  <w15:chartTrackingRefBased/>
  <w15:docId w15:val="{45180026-E228-4771-AF20-2A2763DB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E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18564E02E9B40B667052097B7FAC0" ma:contentTypeVersion="13" ma:contentTypeDescription="Create a new document." ma:contentTypeScope="" ma:versionID="6bba7cacf744bda75c6201960df9838f">
  <xsd:schema xmlns:xsd="http://www.w3.org/2001/XMLSchema" xmlns:xs="http://www.w3.org/2001/XMLSchema" xmlns:p="http://schemas.microsoft.com/office/2006/metadata/properties" xmlns:ns1="http://schemas.microsoft.com/sharepoint/v3" xmlns:ns3="bbd6abf0-fe1d-4efd-a767-85843db16654" xmlns:ns4="7ef04ee2-ae8d-450a-9b72-44e8c422bd61" targetNamespace="http://schemas.microsoft.com/office/2006/metadata/properties" ma:root="true" ma:fieldsID="408cedddcb163605d2e685e8c7612c6e" ns1:_="" ns3:_="" ns4:_="">
    <xsd:import namespace="http://schemas.microsoft.com/sharepoint/v3"/>
    <xsd:import namespace="bbd6abf0-fe1d-4efd-a767-85843db16654"/>
    <xsd:import namespace="7ef04ee2-ae8d-450a-9b72-44e8c422bd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6abf0-fe1d-4efd-a767-85843db16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04ee2-ae8d-450a-9b72-44e8c422b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CC7BA5-1351-4474-8383-0DE7BCB37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d6abf0-fe1d-4efd-a767-85843db16654"/>
    <ds:schemaRef ds:uri="7ef04ee2-ae8d-450a-9b72-44e8c422b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807B7-2678-40EB-9EE1-421929229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612D9-D980-47F6-8AD7-3E5277CEAA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Allison</dc:creator>
  <cp:keywords/>
  <dc:description/>
  <cp:lastModifiedBy>Ciara Keenan</cp:lastModifiedBy>
  <cp:revision>2</cp:revision>
  <dcterms:created xsi:type="dcterms:W3CDTF">2019-11-19T08:52:00Z</dcterms:created>
  <dcterms:modified xsi:type="dcterms:W3CDTF">2019-11-19T08:52:00Z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0x010100CB418564E02E9B40B667052097B7FAC0</vt:lpwstr>
  </property>
</Properties>
</file>